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C43" w:rsidRPr="00FE2C43" w:rsidRDefault="00FE2C43" w:rsidP="00FE2C43">
      <w:pPr>
        <w:rPr>
          <w:rFonts w:asciiTheme="majorHAnsi" w:hAnsiTheme="majorHAnsi"/>
          <w:b/>
          <w:sz w:val="22"/>
          <w:szCs w:val="22"/>
        </w:rPr>
      </w:pPr>
      <w:r w:rsidRPr="00FE2C43">
        <w:rPr>
          <w:rFonts w:asciiTheme="majorHAnsi" w:hAnsiTheme="majorHAnsi"/>
          <w:b/>
          <w:sz w:val="22"/>
          <w:szCs w:val="22"/>
        </w:rPr>
        <w:t>Direct access endoscopy at Bendigo Health</w:t>
      </w:r>
    </w:p>
    <w:p w:rsidR="00FE2C43" w:rsidRPr="00FE2C43" w:rsidRDefault="00FE2C43" w:rsidP="00FE2C43">
      <w:pPr>
        <w:rPr>
          <w:rFonts w:asciiTheme="majorHAnsi" w:hAnsiTheme="majorHAnsi"/>
          <w:sz w:val="22"/>
          <w:szCs w:val="22"/>
        </w:rPr>
      </w:pPr>
      <w:r w:rsidRPr="00FE2C43">
        <w:rPr>
          <w:rFonts w:asciiTheme="majorHAnsi" w:hAnsiTheme="majorHAnsi"/>
          <w:sz w:val="22"/>
          <w:szCs w:val="22"/>
        </w:rPr>
        <w:t xml:space="preserve">Bendigo Health </w:t>
      </w:r>
      <w:r w:rsidR="00AC7647">
        <w:rPr>
          <w:rFonts w:asciiTheme="majorHAnsi" w:hAnsiTheme="majorHAnsi"/>
          <w:sz w:val="22"/>
          <w:szCs w:val="22"/>
        </w:rPr>
        <w:t>offers a</w:t>
      </w:r>
      <w:r w:rsidRPr="00FE2C43">
        <w:rPr>
          <w:rFonts w:asciiTheme="majorHAnsi" w:hAnsiTheme="majorHAnsi"/>
          <w:sz w:val="22"/>
          <w:szCs w:val="22"/>
        </w:rPr>
        <w:t xml:space="preserve"> ‘direct access endoscopy’</w:t>
      </w:r>
      <w:r w:rsidR="00AC7647">
        <w:rPr>
          <w:rFonts w:asciiTheme="majorHAnsi" w:hAnsiTheme="majorHAnsi"/>
          <w:sz w:val="22"/>
          <w:szCs w:val="22"/>
        </w:rPr>
        <w:t xml:space="preserve"> service bypassing the need for specialist consultation and avoiding delay where the need for endoscopy is clear</w:t>
      </w:r>
      <w:r w:rsidRPr="00FE2C43">
        <w:rPr>
          <w:rFonts w:asciiTheme="majorHAnsi" w:hAnsiTheme="majorHAnsi"/>
          <w:sz w:val="22"/>
          <w:szCs w:val="22"/>
        </w:rPr>
        <w:t xml:space="preserve">.  </w:t>
      </w:r>
      <w:r w:rsidR="00AC7647">
        <w:rPr>
          <w:rFonts w:asciiTheme="majorHAnsi" w:hAnsiTheme="majorHAnsi"/>
          <w:sz w:val="22"/>
          <w:szCs w:val="22"/>
        </w:rPr>
        <w:t>To facilitate this, it is important</w:t>
      </w:r>
      <w:r w:rsidRPr="00FE2C43">
        <w:rPr>
          <w:rFonts w:asciiTheme="majorHAnsi" w:hAnsiTheme="majorHAnsi"/>
          <w:sz w:val="22"/>
          <w:szCs w:val="22"/>
        </w:rPr>
        <w:t xml:space="preserve"> that referring practitioners include all relevant information in the referral form.  This includes:</w:t>
      </w:r>
    </w:p>
    <w:p w:rsidR="00FE2C43" w:rsidRPr="00FE2C43" w:rsidRDefault="00FE2C43" w:rsidP="00FE2C43">
      <w:pPr>
        <w:pStyle w:val="ListParagraph"/>
        <w:numPr>
          <w:ilvl w:val="0"/>
          <w:numId w:val="23"/>
        </w:numPr>
        <w:rPr>
          <w:rFonts w:asciiTheme="majorHAnsi" w:hAnsiTheme="majorHAnsi"/>
        </w:rPr>
      </w:pPr>
      <w:r w:rsidRPr="00FE2C43">
        <w:rPr>
          <w:rFonts w:asciiTheme="majorHAnsi" w:hAnsiTheme="majorHAnsi"/>
        </w:rPr>
        <w:t>Comprehensive medical and social history</w:t>
      </w:r>
    </w:p>
    <w:p w:rsidR="00FE2C43" w:rsidRPr="00FE2C43" w:rsidRDefault="00FE2C43" w:rsidP="00FE2C43">
      <w:pPr>
        <w:pStyle w:val="ListParagraph"/>
        <w:numPr>
          <w:ilvl w:val="0"/>
          <w:numId w:val="23"/>
        </w:numPr>
        <w:rPr>
          <w:rFonts w:asciiTheme="majorHAnsi" w:hAnsiTheme="majorHAnsi"/>
        </w:rPr>
      </w:pPr>
      <w:r w:rsidRPr="00FE2C43">
        <w:rPr>
          <w:rFonts w:asciiTheme="majorHAnsi" w:hAnsiTheme="majorHAnsi"/>
        </w:rPr>
        <w:t>Current medication list</w:t>
      </w:r>
    </w:p>
    <w:p w:rsidR="00FE2C43" w:rsidRPr="00FE2C43" w:rsidRDefault="00FE2C43" w:rsidP="00FE2C43">
      <w:pPr>
        <w:pStyle w:val="ListParagraph"/>
        <w:numPr>
          <w:ilvl w:val="0"/>
          <w:numId w:val="23"/>
        </w:numPr>
        <w:rPr>
          <w:rFonts w:asciiTheme="majorHAnsi" w:hAnsiTheme="majorHAnsi"/>
        </w:rPr>
      </w:pPr>
      <w:r w:rsidRPr="00FE2C43">
        <w:rPr>
          <w:rFonts w:asciiTheme="majorHAnsi" w:hAnsiTheme="majorHAnsi"/>
        </w:rPr>
        <w:t>Previous endoscopy reports</w:t>
      </w:r>
    </w:p>
    <w:p w:rsidR="00FE2C43" w:rsidRPr="00FE2C43" w:rsidRDefault="00AC7647" w:rsidP="00FE2C43">
      <w:pPr>
        <w:pStyle w:val="ListParagraph"/>
        <w:numPr>
          <w:ilvl w:val="0"/>
          <w:numId w:val="23"/>
        </w:numPr>
        <w:rPr>
          <w:rFonts w:asciiTheme="majorHAnsi" w:hAnsiTheme="majorHAnsi"/>
        </w:rPr>
      </w:pPr>
      <w:r>
        <w:rPr>
          <w:rFonts w:asciiTheme="majorHAnsi" w:hAnsiTheme="majorHAnsi"/>
        </w:rPr>
        <w:t>Relevant pathology report</w:t>
      </w:r>
    </w:p>
    <w:p w:rsidR="00AC7647" w:rsidRDefault="00FE2C43" w:rsidP="00FE2C43">
      <w:pPr>
        <w:rPr>
          <w:rFonts w:asciiTheme="majorHAnsi" w:hAnsiTheme="majorHAnsi"/>
          <w:sz w:val="22"/>
          <w:szCs w:val="22"/>
        </w:rPr>
      </w:pPr>
      <w:r w:rsidRPr="00FE2C43">
        <w:rPr>
          <w:rFonts w:asciiTheme="majorHAnsi" w:hAnsiTheme="majorHAnsi"/>
          <w:sz w:val="22"/>
          <w:szCs w:val="22"/>
        </w:rPr>
        <w:t xml:space="preserve">E-referral and use of the endoscopy specific template is preferred.  </w:t>
      </w:r>
    </w:p>
    <w:p w:rsidR="00FE2C43" w:rsidRPr="00FE2C43" w:rsidRDefault="00FE2C43" w:rsidP="00FE2C43">
      <w:pPr>
        <w:rPr>
          <w:rFonts w:asciiTheme="majorHAnsi" w:hAnsiTheme="majorHAnsi"/>
          <w:sz w:val="22"/>
          <w:szCs w:val="22"/>
        </w:rPr>
      </w:pPr>
      <w:r w:rsidRPr="00FE2C43">
        <w:rPr>
          <w:rFonts w:asciiTheme="majorHAnsi" w:hAnsiTheme="majorHAnsi"/>
          <w:sz w:val="22"/>
          <w:szCs w:val="22"/>
        </w:rPr>
        <w:t xml:space="preserve">Where it has been identified that patients have increased risks or the indication for endoscopy is not clear, </w:t>
      </w:r>
      <w:r w:rsidR="00AC7647">
        <w:rPr>
          <w:rFonts w:asciiTheme="majorHAnsi" w:hAnsiTheme="majorHAnsi"/>
          <w:sz w:val="22"/>
          <w:szCs w:val="22"/>
        </w:rPr>
        <w:t>specialist</w:t>
      </w:r>
      <w:r w:rsidRPr="00FE2C43">
        <w:rPr>
          <w:rFonts w:asciiTheme="majorHAnsi" w:hAnsiTheme="majorHAnsi"/>
          <w:sz w:val="22"/>
          <w:szCs w:val="22"/>
        </w:rPr>
        <w:t xml:space="preserve"> consultation will be required.  </w:t>
      </w:r>
    </w:p>
    <w:p w:rsidR="00FE2C43" w:rsidRDefault="00FE2C43" w:rsidP="00145F6D">
      <w:pPr>
        <w:rPr>
          <w:rFonts w:asciiTheme="majorHAnsi" w:hAnsiTheme="majorHAnsi"/>
          <w:b/>
          <w:sz w:val="22"/>
          <w:szCs w:val="22"/>
          <w:lang w:val="en-US"/>
        </w:rPr>
      </w:pPr>
    </w:p>
    <w:p w:rsidR="00AC7647" w:rsidRPr="00145F6D" w:rsidRDefault="00AC7647" w:rsidP="00AC7647">
      <w:pPr>
        <w:rPr>
          <w:rFonts w:asciiTheme="majorHAnsi" w:hAnsiTheme="majorHAnsi"/>
          <w:sz w:val="22"/>
          <w:szCs w:val="22"/>
          <w:lang w:val="en-US"/>
        </w:rPr>
      </w:pPr>
      <w:r w:rsidRPr="00145F6D">
        <w:rPr>
          <w:rFonts w:asciiTheme="majorHAnsi" w:hAnsiTheme="majorHAnsi"/>
          <w:sz w:val="22"/>
          <w:szCs w:val="22"/>
          <w:lang w:val="en-US"/>
        </w:rPr>
        <w:t xml:space="preserve">Referrals should be directed to Specialist Clinics via </w:t>
      </w:r>
      <w:proofErr w:type="spellStart"/>
      <w:r w:rsidRPr="00145F6D">
        <w:rPr>
          <w:rFonts w:asciiTheme="majorHAnsi" w:hAnsiTheme="majorHAnsi"/>
          <w:sz w:val="22"/>
          <w:szCs w:val="22"/>
          <w:lang w:val="en-US"/>
        </w:rPr>
        <w:t>eReferral</w:t>
      </w:r>
      <w:proofErr w:type="spellEnd"/>
      <w:r w:rsidRPr="00145F6D">
        <w:rPr>
          <w:rFonts w:asciiTheme="majorHAnsi" w:hAnsiTheme="majorHAnsi"/>
          <w:sz w:val="22"/>
          <w:szCs w:val="22"/>
          <w:lang w:val="en-US"/>
        </w:rPr>
        <w:t xml:space="preserve"> (BPAC </w:t>
      </w:r>
      <w:proofErr w:type="spellStart"/>
      <w:r w:rsidRPr="00145F6D">
        <w:rPr>
          <w:rFonts w:asciiTheme="majorHAnsi" w:hAnsiTheme="majorHAnsi"/>
          <w:sz w:val="22"/>
          <w:szCs w:val="22"/>
          <w:lang w:val="en-US"/>
        </w:rPr>
        <w:t>SeNT</w:t>
      </w:r>
      <w:proofErr w:type="spellEnd"/>
      <w:r w:rsidRPr="00145F6D">
        <w:rPr>
          <w:rFonts w:asciiTheme="majorHAnsi" w:hAnsiTheme="majorHAnsi"/>
          <w:sz w:val="22"/>
          <w:szCs w:val="22"/>
          <w:lang w:val="en-US"/>
        </w:rPr>
        <w:t xml:space="preserve"> product – contact </w:t>
      </w:r>
      <w:hyperlink r:id="rId7" w:history="1">
        <w:r w:rsidRPr="00145F6D">
          <w:rPr>
            <w:rStyle w:val="Hyperlink"/>
            <w:rFonts w:asciiTheme="majorHAnsi" w:hAnsiTheme="majorHAnsi"/>
            <w:sz w:val="22"/>
            <w:szCs w:val="22"/>
            <w:lang w:val="en-US"/>
          </w:rPr>
          <w:t>ereferralproject@bendigohealth.org.au</w:t>
        </w:r>
      </w:hyperlink>
      <w:r w:rsidRPr="00145F6D">
        <w:rPr>
          <w:rFonts w:asciiTheme="majorHAnsi" w:hAnsiTheme="majorHAnsi"/>
          <w:sz w:val="22"/>
          <w:szCs w:val="22"/>
          <w:lang w:val="en-US"/>
        </w:rPr>
        <w:t xml:space="preserve"> for more details) ideally as the dedicated </w:t>
      </w:r>
      <w:r>
        <w:rPr>
          <w:rFonts w:asciiTheme="majorHAnsi" w:hAnsiTheme="majorHAnsi"/>
          <w:sz w:val="22"/>
          <w:szCs w:val="22"/>
          <w:lang w:val="en-US"/>
        </w:rPr>
        <w:t xml:space="preserve">endoscopy </w:t>
      </w:r>
      <w:proofErr w:type="spellStart"/>
      <w:r w:rsidRPr="00145F6D">
        <w:rPr>
          <w:rFonts w:asciiTheme="majorHAnsi" w:hAnsiTheme="majorHAnsi"/>
          <w:sz w:val="22"/>
          <w:szCs w:val="22"/>
          <w:lang w:val="en-US"/>
        </w:rPr>
        <w:t>eReferral</w:t>
      </w:r>
      <w:proofErr w:type="spellEnd"/>
      <w:r w:rsidRPr="00145F6D">
        <w:rPr>
          <w:rFonts w:asciiTheme="majorHAnsi" w:hAnsiTheme="majorHAnsi"/>
          <w:sz w:val="22"/>
          <w:szCs w:val="22"/>
          <w:lang w:val="en-US"/>
        </w:rPr>
        <w:t xml:space="preserve"> template is inclusive of all criteria to enable expeditious triage or via fax 5454 8922</w:t>
      </w:r>
      <w:r>
        <w:rPr>
          <w:rFonts w:asciiTheme="majorHAnsi" w:hAnsiTheme="majorHAnsi"/>
          <w:sz w:val="22"/>
          <w:szCs w:val="22"/>
          <w:lang w:val="en-US"/>
        </w:rPr>
        <w:t>.</w:t>
      </w:r>
    </w:p>
    <w:p w:rsidR="00AC7647" w:rsidRDefault="00AC7647" w:rsidP="00145F6D">
      <w:pPr>
        <w:rPr>
          <w:rFonts w:asciiTheme="majorHAnsi" w:hAnsiTheme="majorHAnsi"/>
          <w:b/>
          <w:sz w:val="22"/>
          <w:szCs w:val="22"/>
          <w:lang w:val="en-US"/>
        </w:rPr>
      </w:pPr>
    </w:p>
    <w:p w:rsidR="00DB00E2" w:rsidRPr="00145F6D" w:rsidRDefault="00DB00E2" w:rsidP="00145F6D">
      <w:pPr>
        <w:rPr>
          <w:rFonts w:asciiTheme="majorHAnsi" w:hAnsiTheme="majorHAnsi"/>
          <w:sz w:val="22"/>
          <w:szCs w:val="22"/>
          <w:lang w:val="en-US"/>
        </w:rPr>
      </w:pPr>
      <w:r w:rsidRPr="00145F6D">
        <w:rPr>
          <w:rFonts w:asciiTheme="majorHAnsi" w:hAnsiTheme="majorHAnsi"/>
          <w:b/>
          <w:sz w:val="22"/>
          <w:szCs w:val="22"/>
          <w:lang w:val="en-US"/>
        </w:rPr>
        <w:t>Direct Access Colonoscopy – criteria guidelines</w:t>
      </w:r>
      <w:r w:rsidRPr="00145F6D">
        <w:rPr>
          <w:rFonts w:asciiTheme="majorHAnsi" w:hAnsiTheme="majorHAnsi"/>
          <w:sz w:val="22"/>
          <w:szCs w:val="22"/>
        </w:rPr>
        <w:t xml:space="preserve"> based on </w:t>
      </w:r>
      <w:r w:rsidRPr="00145F6D">
        <w:rPr>
          <w:rFonts w:asciiTheme="majorHAnsi" w:hAnsiTheme="majorHAnsi"/>
          <w:sz w:val="22"/>
          <w:szCs w:val="22"/>
          <w:lang w:val="en-US"/>
        </w:rPr>
        <w:t>NHMRC approved Clinical practice guidelines for prevention, early detection and management of colorectal cancer (CRC) 2nd edition (Dec 2005), Clinical practice guidelines for Surveillance Colonoscopy (Dec 2011) and Victorian Colonoscopy categorization guidelines (2017).</w:t>
      </w:r>
    </w:p>
    <w:p w:rsidR="00DB00E2" w:rsidRPr="00145F6D" w:rsidRDefault="00DB00E2" w:rsidP="00145F6D">
      <w:pPr>
        <w:rPr>
          <w:rFonts w:asciiTheme="majorHAnsi" w:hAnsiTheme="majorHAnsi"/>
          <w:b/>
          <w:sz w:val="22"/>
          <w:szCs w:val="22"/>
          <w:lang w:val="en-US"/>
        </w:rPr>
      </w:pPr>
      <w:r w:rsidRPr="00145F6D">
        <w:rPr>
          <w:rFonts w:asciiTheme="majorHAnsi" w:hAnsiTheme="majorHAnsi"/>
          <w:b/>
          <w:sz w:val="22"/>
          <w:szCs w:val="22"/>
          <w:lang w:val="en-US"/>
        </w:rPr>
        <w:t>Symptoms which alone do not indicate colorectal neoplasia but combined can increase the likelihood are:</w:t>
      </w:r>
    </w:p>
    <w:p w:rsidR="00DB00E2" w:rsidRPr="00145F6D" w:rsidRDefault="00DB00E2" w:rsidP="00145F6D">
      <w:pPr>
        <w:pStyle w:val="ListParagraph"/>
        <w:numPr>
          <w:ilvl w:val="0"/>
          <w:numId w:val="18"/>
        </w:numPr>
        <w:rPr>
          <w:rFonts w:asciiTheme="majorHAnsi" w:hAnsiTheme="majorHAnsi"/>
          <w:lang w:val="en-US"/>
        </w:rPr>
      </w:pPr>
      <w:r w:rsidRPr="00145F6D">
        <w:rPr>
          <w:rFonts w:asciiTheme="majorHAnsi" w:hAnsiTheme="majorHAnsi"/>
          <w:lang w:val="en-US"/>
        </w:rPr>
        <w:t>Altered bowel habit</w:t>
      </w:r>
    </w:p>
    <w:p w:rsidR="00DB00E2" w:rsidRPr="00145F6D" w:rsidRDefault="00DB00E2" w:rsidP="00145F6D">
      <w:pPr>
        <w:pStyle w:val="ListParagraph"/>
        <w:numPr>
          <w:ilvl w:val="0"/>
          <w:numId w:val="18"/>
        </w:numPr>
        <w:rPr>
          <w:rFonts w:asciiTheme="majorHAnsi" w:hAnsiTheme="majorHAnsi"/>
          <w:lang w:val="en-US"/>
        </w:rPr>
      </w:pPr>
      <w:r w:rsidRPr="00145F6D">
        <w:rPr>
          <w:rFonts w:asciiTheme="majorHAnsi" w:hAnsiTheme="majorHAnsi"/>
          <w:lang w:val="en-US"/>
        </w:rPr>
        <w:t>Unexplained abdominal pain</w:t>
      </w:r>
    </w:p>
    <w:p w:rsidR="00DB00E2" w:rsidRPr="00145F6D" w:rsidRDefault="00DB00E2" w:rsidP="00145F6D">
      <w:pPr>
        <w:pStyle w:val="ListParagraph"/>
        <w:numPr>
          <w:ilvl w:val="0"/>
          <w:numId w:val="18"/>
        </w:numPr>
        <w:rPr>
          <w:rFonts w:asciiTheme="majorHAnsi" w:hAnsiTheme="majorHAnsi"/>
          <w:lang w:val="en-US"/>
        </w:rPr>
      </w:pPr>
      <w:r w:rsidRPr="00145F6D">
        <w:rPr>
          <w:rFonts w:asciiTheme="majorHAnsi" w:hAnsiTheme="majorHAnsi"/>
          <w:lang w:val="en-US"/>
        </w:rPr>
        <w:t>Weight loss</w:t>
      </w:r>
    </w:p>
    <w:p w:rsidR="00DB00E2" w:rsidRPr="00145F6D" w:rsidRDefault="00DB00E2" w:rsidP="00145F6D">
      <w:pPr>
        <w:rPr>
          <w:rFonts w:asciiTheme="majorHAnsi" w:hAnsiTheme="majorHAnsi"/>
          <w:b/>
          <w:sz w:val="22"/>
          <w:szCs w:val="22"/>
          <w:lang w:val="en-US"/>
        </w:rPr>
      </w:pPr>
      <w:r w:rsidRPr="00145F6D">
        <w:rPr>
          <w:rFonts w:asciiTheme="majorHAnsi" w:hAnsiTheme="majorHAnsi"/>
          <w:b/>
          <w:sz w:val="22"/>
          <w:szCs w:val="22"/>
          <w:lang w:val="en-US"/>
        </w:rPr>
        <w:t>Critical factors</w:t>
      </w:r>
    </w:p>
    <w:p w:rsidR="00DB00E2" w:rsidRPr="00145F6D" w:rsidRDefault="00DB00E2" w:rsidP="00145F6D">
      <w:pPr>
        <w:pStyle w:val="ListParagraph"/>
        <w:numPr>
          <w:ilvl w:val="0"/>
          <w:numId w:val="19"/>
        </w:numPr>
        <w:rPr>
          <w:rFonts w:asciiTheme="majorHAnsi" w:hAnsiTheme="majorHAnsi"/>
          <w:lang w:val="en-US"/>
        </w:rPr>
      </w:pPr>
      <w:r w:rsidRPr="00145F6D">
        <w:rPr>
          <w:rFonts w:asciiTheme="majorHAnsi" w:hAnsiTheme="majorHAnsi"/>
          <w:lang w:val="en-US"/>
        </w:rPr>
        <w:t>FOBT +</w:t>
      </w:r>
      <w:proofErr w:type="spellStart"/>
      <w:r w:rsidRPr="00145F6D">
        <w:rPr>
          <w:rFonts w:asciiTheme="majorHAnsi" w:hAnsiTheme="majorHAnsi"/>
          <w:lang w:val="en-US"/>
        </w:rPr>
        <w:t>ve</w:t>
      </w:r>
      <w:proofErr w:type="spellEnd"/>
    </w:p>
    <w:p w:rsidR="00DB00E2" w:rsidRPr="00145F6D" w:rsidRDefault="00DB00E2" w:rsidP="00145F6D">
      <w:pPr>
        <w:pStyle w:val="ListParagraph"/>
        <w:numPr>
          <w:ilvl w:val="0"/>
          <w:numId w:val="19"/>
        </w:numPr>
        <w:rPr>
          <w:rFonts w:asciiTheme="majorHAnsi" w:hAnsiTheme="majorHAnsi"/>
          <w:lang w:val="en-US"/>
        </w:rPr>
      </w:pPr>
      <w:r w:rsidRPr="00145F6D">
        <w:rPr>
          <w:rFonts w:asciiTheme="majorHAnsi" w:hAnsiTheme="majorHAnsi"/>
          <w:lang w:val="en-US"/>
        </w:rPr>
        <w:t>Anaemia</w:t>
      </w:r>
    </w:p>
    <w:p w:rsidR="00DB00E2" w:rsidRPr="00145F6D" w:rsidRDefault="00DB00E2" w:rsidP="00145F6D">
      <w:pPr>
        <w:pStyle w:val="ListParagraph"/>
        <w:numPr>
          <w:ilvl w:val="0"/>
          <w:numId w:val="19"/>
        </w:numPr>
        <w:rPr>
          <w:rFonts w:asciiTheme="majorHAnsi" w:hAnsiTheme="majorHAnsi"/>
          <w:lang w:val="en-US"/>
        </w:rPr>
      </w:pPr>
      <w:r w:rsidRPr="00145F6D">
        <w:rPr>
          <w:rFonts w:asciiTheme="majorHAnsi" w:hAnsiTheme="majorHAnsi"/>
          <w:lang w:val="en-US"/>
        </w:rPr>
        <w:t>Age ≥ 60 years</w:t>
      </w:r>
    </w:p>
    <w:p w:rsidR="00DB00E2" w:rsidRPr="00145F6D" w:rsidRDefault="00DB00E2" w:rsidP="00145F6D">
      <w:pPr>
        <w:pStyle w:val="ListParagraph"/>
        <w:numPr>
          <w:ilvl w:val="0"/>
          <w:numId w:val="19"/>
        </w:numPr>
        <w:rPr>
          <w:rFonts w:asciiTheme="majorHAnsi" w:hAnsiTheme="majorHAnsi"/>
          <w:lang w:val="en-US"/>
        </w:rPr>
      </w:pPr>
      <w:r w:rsidRPr="00145F6D">
        <w:rPr>
          <w:rFonts w:asciiTheme="majorHAnsi" w:hAnsiTheme="majorHAnsi"/>
          <w:lang w:val="en-US"/>
        </w:rPr>
        <w:t>Rectal bleeding not associated with haemorrhoids</w:t>
      </w:r>
    </w:p>
    <w:p w:rsidR="00DB00E2" w:rsidRPr="00145F6D" w:rsidRDefault="00DB00E2" w:rsidP="00145F6D">
      <w:pPr>
        <w:rPr>
          <w:rFonts w:asciiTheme="majorHAnsi" w:hAnsiTheme="majorHAnsi"/>
          <w:b/>
          <w:sz w:val="22"/>
          <w:szCs w:val="22"/>
          <w:lang w:val="en-US"/>
        </w:rPr>
      </w:pPr>
      <w:r w:rsidRPr="00145F6D">
        <w:rPr>
          <w:rFonts w:asciiTheme="majorHAnsi" w:hAnsiTheme="majorHAnsi"/>
          <w:b/>
          <w:sz w:val="22"/>
          <w:szCs w:val="22"/>
          <w:lang w:val="en-US"/>
        </w:rPr>
        <w:t>Indications for direct access</w:t>
      </w:r>
      <w:r w:rsidRPr="00145F6D">
        <w:rPr>
          <w:rFonts w:asciiTheme="majorHAnsi" w:hAnsiTheme="majorHAnsi"/>
          <w:b/>
          <w:sz w:val="22"/>
          <w:szCs w:val="22"/>
          <w:lang w:val="en-US"/>
        </w:rPr>
        <w:tab/>
      </w:r>
      <w:r w:rsidRPr="00145F6D">
        <w:rPr>
          <w:rFonts w:asciiTheme="majorHAnsi" w:hAnsiTheme="majorHAnsi"/>
          <w:b/>
          <w:sz w:val="22"/>
          <w:szCs w:val="22"/>
          <w:lang w:val="en-US"/>
        </w:rPr>
        <w:tab/>
      </w:r>
      <w:r w:rsidRPr="00145F6D">
        <w:rPr>
          <w:rFonts w:asciiTheme="majorHAnsi" w:hAnsiTheme="majorHAnsi"/>
          <w:b/>
          <w:sz w:val="22"/>
          <w:szCs w:val="22"/>
          <w:lang w:val="en-US"/>
        </w:rPr>
        <w:tab/>
      </w:r>
      <w:r w:rsidRPr="00145F6D">
        <w:rPr>
          <w:rFonts w:asciiTheme="majorHAnsi" w:hAnsiTheme="majorHAnsi"/>
          <w:b/>
          <w:sz w:val="22"/>
          <w:szCs w:val="22"/>
          <w:lang w:val="en-US"/>
        </w:rPr>
        <w:tab/>
      </w:r>
      <w:r w:rsidRPr="00145F6D">
        <w:rPr>
          <w:rFonts w:asciiTheme="majorHAnsi" w:hAnsiTheme="majorHAnsi"/>
          <w:b/>
          <w:sz w:val="22"/>
          <w:szCs w:val="22"/>
          <w:lang w:val="en-US"/>
        </w:rPr>
        <w:tab/>
      </w:r>
    </w:p>
    <w:p w:rsidR="00DB00E2" w:rsidRPr="00145F6D" w:rsidRDefault="00DB00E2" w:rsidP="00145F6D">
      <w:pPr>
        <w:pStyle w:val="ListParagraph"/>
        <w:numPr>
          <w:ilvl w:val="0"/>
          <w:numId w:val="17"/>
        </w:numPr>
        <w:rPr>
          <w:rFonts w:asciiTheme="majorHAnsi" w:hAnsiTheme="majorHAnsi"/>
          <w:lang w:val="en-US"/>
        </w:rPr>
      </w:pPr>
      <w:r w:rsidRPr="00145F6D">
        <w:rPr>
          <w:rFonts w:asciiTheme="majorHAnsi" w:hAnsiTheme="majorHAnsi"/>
          <w:lang w:val="en-US"/>
        </w:rPr>
        <w:t>FOBT +</w:t>
      </w:r>
      <w:proofErr w:type="spellStart"/>
      <w:r w:rsidRPr="00145F6D">
        <w:rPr>
          <w:rFonts w:asciiTheme="majorHAnsi" w:hAnsiTheme="majorHAnsi"/>
          <w:lang w:val="en-US"/>
        </w:rPr>
        <w:t>ve</w:t>
      </w:r>
      <w:proofErr w:type="spellEnd"/>
    </w:p>
    <w:p w:rsidR="00DB00E2" w:rsidRPr="00145F6D" w:rsidRDefault="00DB00E2" w:rsidP="00145F6D">
      <w:pPr>
        <w:pStyle w:val="ListParagraph"/>
        <w:numPr>
          <w:ilvl w:val="0"/>
          <w:numId w:val="17"/>
        </w:numPr>
        <w:rPr>
          <w:rFonts w:asciiTheme="majorHAnsi" w:hAnsiTheme="majorHAnsi"/>
          <w:lang w:val="en-US"/>
        </w:rPr>
      </w:pPr>
      <w:r w:rsidRPr="00145F6D">
        <w:rPr>
          <w:rFonts w:asciiTheme="majorHAnsi" w:hAnsiTheme="majorHAnsi"/>
          <w:lang w:val="en-US"/>
        </w:rPr>
        <w:t>Anaemia with any other critical factor or symptom</w:t>
      </w:r>
    </w:p>
    <w:p w:rsidR="00DB00E2" w:rsidRPr="00145F6D" w:rsidRDefault="00DB00E2" w:rsidP="00145F6D">
      <w:pPr>
        <w:pStyle w:val="ListParagraph"/>
        <w:numPr>
          <w:ilvl w:val="0"/>
          <w:numId w:val="17"/>
        </w:numPr>
        <w:rPr>
          <w:rFonts w:asciiTheme="majorHAnsi" w:hAnsiTheme="majorHAnsi"/>
          <w:lang w:val="en-US"/>
        </w:rPr>
      </w:pPr>
      <w:r w:rsidRPr="00145F6D">
        <w:rPr>
          <w:rFonts w:asciiTheme="majorHAnsi" w:hAnsiTheme="majorHAnsi"/>
          <w:lang w:val="en-US"/>
        </w:rPr>
        <w:t>Rectal bleeding with any other critical factor or symptom</w:t>
      </w:r>
    </w:p>
    <w:p w:rsidR="00DB00E2" w:rsidRPr="00145F6D" w:rsidRDefault="00DB00E2" w:rsidP="00145F6D">
      <w:pPr>
        <w:pStyle w:val="ListParagraph"/>
        <w:numPr>
          <w:ilvl w:val="0"/>
          <w:numId w:val="17"/>
        </w:numPr>
        <w:rPr>
          <w:rFonts w:asciiTheme="majorHAnsi" w:hAnsiTheme="majorHAnsi"/>
          <w:lang w:val="en-US"/>
        </w:rPr>
      </w:pPr>
      <w:r w:rsidRPr="00145F6D">
        <w:rPr>
          <w:rFonts w:asciiTheme="majorHAnsi" w:hAnsiTheme="majorHAnsi"/>
          <w:lang w:val="en-US"/>
        </w:rPr>
        <w:t>Altered bowel habit (&gt; 6/52 and &lt; 12 months) and any other critical factor</w:t>
      </w:r>
    </w:p>
    <w:p w:rsidR="00DB00E2" w:rsidRPr="00145F6D" w:rsidRDefault="00DB00E2" w:rsidP="00145F6D">
      <w:pPr>
        <w:pStyle w:val="ListParagraph"/>
        <w:numPr>
          <w:ilvl w:val="0"/>
          <w:numId w:val="17"/>
        </w:numPr>
        <w:rPr>
          <w:rFonts w:asciiTheme="majorHAnsi" w:hAnsiTheme="majorHAnsi"/>
          <w:lang w:val="en-US"/>
        </w:rPr>
      </w:pPr>
      <w:r w:rsidRPr="00145F6D">
        <w:rPr>
          <w:rFonts w:asciiTheme="majorHAnsi" w:hAnsiTheme="majorHAnsi"/>
          <w:lang w:val="en-US"/>
        </w:rPr>
        <w:t>Abnormal imaging</w:t>
      </w:r>
    </w:p>
    <w:p w:rsidR="00DB00E2" w:rsidRPr="00145F6D" w:rsidRDefault="00DB00E2" w:rsidP="00145F6D">
      <w:pPr>
        <w:rPr>
          <w:rFonts w:asciiTheme="majorHAnsi" w:hAnsiTheme="majorHAnsi"/>
          <w:b/>
          <w:sz w:val="22"/>
          <w:szCs w:val="22"/>
          <w:lang w:val="en-US"/>
        </w:rPr>
      </w:pPr>
      <w:r w:rsidRPr="00145F6D">
        <w:rPr>
          <w:rFonts w:asciiTheme="majorHAnsi" w:hAnsiTheme="majorHAnsi"/>
          <w:b/>
          <w:sz w:val="22"/>
          <w:szCs w:val="22"/>
          <w:lang w:val="en-US"/>
        </w:rPr>
        <w:t>Requiring Specialist clinic appointment (exclusion criteria for direct access)</w:t>
      </w:r>
    </w:p>
    <w:p w:rsidR="00DB00E2" w:rsidRPr="00145F6D" w:rsidRDefault="00DB00E2" w:rsidP="00145F6D">
      <w:pPr>
        <w:pStyle w:val="ListParagraph"/>
        <w:numPr>
          <w:ilvl w:val="0"/>
          <w:numId w:val="17"/>
        </w:numPr>
        <w:rPr>
          <w:rFonts w:asciiTheme="majorHAnsi" w:hAnsiTheme="majorHAnsi"/>
          <w:lang w:val="en-US"/>
        </w:rPr>
      </w:pPr>
      <w:r w:rsidRPr="00145F6D">
        <w:rPr>
          <w:rFonts w:asciiTheme="majorHAnsi" w:hAnsiTheme="majorHAnsi"/>
          <w:lang w:val="en-US"/>
        </w:rPr>
        <w:t xml:space="preserve">Familial history of bowel cancer without corresponding details  </w:t>
      </w:r>
    </w:p>
    <w:p w:rsidR="00DB00E2" w:rsidRPr="00145F6D" w:rsidRDefault="00DB00E2" w:rsidP="00145F6D">
      <w:pPr>
        <w:pStyle w:val="ListParagraph"/>
        <w:numPr>
          <w:ilvl w:val="0"/>
          <w:numId w:val="17"/>
        </w:numPr>
        <w:rPr>
          <w:rFonts w:asciiTheme="majorHAnsi" w:hAnsiTheme="majorHAnsi"/>
          <w:lang w:val="en-US"/>
        </w:rPr>
      </w:pPr>
      <w:r w:rsidRPr="00145F6D">
        <w:rPr>
          <w:rFonts w:asciiTheme="majorHAnsi" w:hAnsiTheme="majorHAnsi"/>
          <w:lang w:val="en-US"/>
        </w:rPr>
        <w:t xml:space="preserve">Familial history of FAP </w:t>
      </w:r>
    </w:p>
    <w:p w:rsidR="00DB00E2" w:rsidRPr="00145F6D" w:rsidRDefault="00DB00E2" w:rsidP="00145F6D">
      <w:pPr>
        <w:pStyle w:val="ListParagraph"/>
        <w:numPr>
          <w:ilvl w:val="0"/>
          <w:numId w:val="17"/>
        </w:numPr>
        <w:rPr>
          <w:rFonts w:asciiTheme="majorHAnsi" w:hAnsiTheme="majorHAnsi"/>
          <w:lang w:val="en-US"/>
        </w:rPr>
      </w:pPr>
      <w:r w:rsidRPr="00145F6D">
        <w:rPr>
          <w:rFonts w:asciiTheme="majorHAnsi" w:hAnsiTheme="majorHAnsi"/>
          <w:lang w:val="en-US"/>
        </w:rPr>
        <w:t xml:space="preserve">Familial history of HNPCC without corresponding details </w:t>
      </w:r>
    </w:p>
    <w:p w:rsidR="00DB00E2" w:rsidRPr="00145F6D" w:rsidRDefault="00DB00E2" w:rsidP="00145F6D">
      <w:pPr>
        <w:pStyle w:val="ListParagraph"/>
        <w:numPr>
          <w:ilvl w:val="0"/>
          <w:numId w:val="17"/>
        </w:numPr>
        <w:rPr>
          <w:rFonts w:asciiTheme="majorHAnsi" w:hAnsiTheme="majorHAnsi"/>
          <w:lang w:val="en-US"/>
        </w:rPr>
      </w:pPr>
      <w:r w:rsidRPr="00145F6D">
        <w:rPr>
          <w:rFonts w:asciiTheme="majorHAnsi" w:hAnsiTheme="majorHAnsi"/>
          <w:lang w:val="en-US"/>
        </w:rPr>
        <w:t xml:space="preserve">Abdominal pain without corresponding indicators or investigations </w:t>
      </w:r>
    </w:p>
    <w:p w:rsidR="00DB00E2" w:rsidRPr="00145F6D" w:rsidRDefault="00DB00E2" w:rsidP="00145F6D">
      <w:pPr>
        <w:pStyle w:val="ListParagraph"/>
        <w:numPr>
          <w:ilvl w:val="0"/>
          <w:numId w:val="17"/>
        </w:numPr>
        <w:rPr>
          <w:rFonts w:asciiTheme="majorHAnsi" w:hAnsiTheme="majorHAnsi"/>
          <w:lang w:val="en-US"/>
        </w:rPr>
      </w:pPr>
      <w:r w:rsidRPr="00145F6D">
        <w:rPr>
          <w:rFonts w:asciiTheme="majorHAnsi" w:hAnsiTheme="majorHAnsi"/>
          <w:lang w:val="en-US"/>
        </w:rPr>
        <w:t xml:space="preserve">Significant co-morbidities </w:t>
      </w:r>
    </w:p>
    <w:p w:rsidR="00DB00E2" w:rsidRPr="00145F6D" w:rsidRDefault="00DB00E2" w:rsidP="00145F6D">
      <w:pPr>
        <w:pStyle w:val="ListParagraph"/>
        <w:numPr>
          <w:ilvl w:val="0"/>
          <w:numId w:val="17"/>
        </w:numPr>
        <w:rPr>
          <w:rFonts w:asciiTheme="majorHAnsi" w:hAnsiTheme="majorHAnsi"/>
          <w:lang w:val="en-US"/>
        </w:rPr>
      </w:pPr>
      <w:r w:rsidRPr="00145F6D">
        <w:rPr>
          <w:rFonts w:asciiTheme="majorHAnsi" w:hAnsiTheme="majorHAnsi"/>
          <w:lang w:val="en-US"/>
        </w:rPr>
        <w:t xml:space="preserve">Diagnosis of haemorrhoids without other complications </w:t>
      </w:r>
    </w:p>
    <w:p w:rsidR="00DB00E2" w:rsidRPr="00145F6D" w:rsidRDefault="00DB00E2" w:rsidP="00145F6D">
      <w:pPr>
        <w:pStyle w:val="ListParagraph"/>
        <w:numPr>
          <w:ilvl w:val="0"/>
          <w:numId w:val="17"/>
        </w:numPr>
        <w:rPr>
          <w:rFonts w:asciiTheme="majorHAnsi" w:hAnsiTheme="majorHAnsi"/>
          <w:lang w:val="en-US"/>
        </w:rPr>
      </w:pPr>
      <w:r w:rsidRPr="00145F6D">
        <w:rPr>
          <w:rFonts w:asciiTheme="majorHAnsi" w:hAnsiTheme="majorHAnsi"/>
          <w:lang w:val="en-US"/>
        </w:rPr>
        <w:t xml:space="preserve">Colonoscopy request for someone &lt; 30 years of age </w:t>
      </w:r>
    </w:p>
    <w:p w:rsidR="00DB00E2" w:rsidRPr="00145F6D" w:rsidRDefault="00DB00E2" w:rsidP="00145F6D">
      <w:pPr>
        <w:pStyle w:val="ListParagraph"/>
        <w:numPr>
          <w:ilvl w:val="0"/>
          <w:numId w:val="17"/>
        </w:numPr>
        <w:rPr>
          <w:rFonts w:asciiTheme="majorHAnsi" w:hAnsiTheme="majorHAnsi"/>
          <w:lang w:val="en-US"/>
        </w:rPr>
      </w:pPr>
      <w:r w:rsidRPr="00145F6D">
        <w:rPr>
          <w:rFonts w:asciiTheme="majorHAnsi" w:hAnsiTheme="majorHAnsi"/>
          <w:lang w:val="en-US"/>
        </w:rPr>
        <w:t xml:space="preserve">Patient weight ≥ 150 Kgs </w:t>
      </w:r>
    </w:p>
    <w:p w:rsidR="00DB00E2" w:rsidRPr="00145F6D" w:rsidRDefault="00DB00E2" w:rsidP="00145F6D">
      <w:pPr>
        <w:pStyle w:val="ListParagraph"/>
        <w:numPr>
          <w:ilvl w:val="0"/>
          <w:numId w:val="17"/>
        </w:numPr>
        <w:rPr>
          <w:rFonts w:asciiTheme="majorHAnsi" w:hAnsiTheme="majorHAnsi"/>
          <w:lang w:val="en-US"/>
        </w:rPr>
      </w:pPr>
      <w:r w:rsidRPr="00145F6D">
        <w:rPr>
          <w:rFonts w:asciiTheme="majorHAnsi" w:hAnsiTheme="majorHAnsi"/>
          <w:lang w:val="en-US"/>
        </w:rPr>
        <w:t xml:space="preserve">Bright red rectal bleeding in people less than 40 years of age </w:t>
      </w:r>
    </w:p>
    <w:p w:rsidR="00C018C3" w:rsidRPr="00AC7647" w:rsidRDefault="00DB00E2" w:rsidP="00C018C3">
      <w:pPr>
        <w:pStyle w:val="ListParagraph"/>
        <w:numPr>
          <w:ilvl w:val="0"/>
          <w:numId w:val="17"/>
        </w:numPr>
        <w:rPr>
          <w:rFonts w:asciiTheme="majorHAnsi" w:hAnsiTheme="majorHAnsi"/>
          <w:lang w:val="en-US"/>
        </w:rPr>
      </w:pPr>
      <w:r w:rsidRPr="00145F6D">
        <w:rPr>
          <w:rFonts w:asciiTheme="majorHAnsi" w:hAnsiTheme="majorHAnsi"/>
          <w:lang w:val="en-US"/>
        </w:rPr>
        <w:t xml:space="preserve">Patients over the age of 75 need to be assessed for appropriateness for direct access. </w:t>
      </w:r>
    </w:p>
    <w:p w:rsidR="00C018C3" w:rsidRPr="00C018C3" w:rsidRDefault="00C018C3" w:rsidP="00C018C3">
      <w:pPr>
        <w:rPr>
          <w:rFonts w:asciiTheme="majorHAnsi" w:hAnsiTheme="majorHAnsi"/>
          <w:b/>
          <w:sz w:val="22"/>
          <w:szCs w:val="22"/>
        </w:rPr>
      </w:pPr>
      <w:r>
        <w:rPr>
          <w:rFonts w:asciiTheme="majorHAnsi" w:hAnsiTheme="majorHAnsi"/>
          <w:b/>
          <w:sz w:val="22"/>
          <w:szCs w:val="22"/>
        </w:rPr>
        <w:t>Direct access Gastroscopy</w:t>
      </w:r>
      <w:r w:rsidRPr="00145F6D">
        <w:rPr>
          <w:rFonts w:asciiTheme="majorHAnsi" w:hAnsiTheme="majorHAnsi"/>
          <w:b/>
          <w:sz w:val="22"/>
          <w:szCs w:val="22"/>
          <w:lang w:val="en-US"/>
        </w:rPr>
        <w:t xml:space="preserve"> – criteria guidelines</w:t>
      </w:r>
      <w:r w:rsidRPr="00145F6D">
        <w:rPr>
          <w:rFonts w:asciiTheme="majorHAnsi" w:hAnsiTheme="majorHAnsi"/>
          <w:sz w:val="22"/>
          <w:szCs w:val="22"/>
        </w:rPr>
        <w:t xml:space="preserve"> based on </w:t>
      </w:r>
      <w:r w:rsidR="00A11F40">
        <w:rPr>
          <w:rFonts w:asciiTheme="majorHAnsi" w:hAnsiTheme="majorHAnsi"/>
          <w:sz w:val="22"/>
          <w:szCs w:val="22"/>
          <w:lang w:val="en-US"/>
        </w:rPr>
        <w:t xml:space="preserve">the </w:t>
      </w:r>
      <w:r w:rsidRPr="00145F6D">
        <w:rPr>
          <w:rFonts w:asciiTheme="majorHAnsi" w:hAnsiTheme="majorHAnsi"/>
          <w:sz w:val="22"/>
          <w:szCs w:val="22"/>
          <w:lang w:val="en-US"/>
        </w:rPr>
        <w:t xml:space="preserve">Victorian </w:t>
      </w:r>
      <w:r w:rsidR="00BF7DF7">
        <w:rPr>
          <w:rFonts w:asciiTheme="majorHAnsi" w:hAnsiTheme="majorHAnsi"/>
          <w:sz w:val="22"/>
          <w:szCs w:val="22"/>
          <w:lang w:val="en-US"/>
        </w:rPr>
        <w:t>Gastrointestinal endoscopy categorization guidelines (2018</w:t>
      </w:r>
      <w:r w:rsidRPr="00145F6D">
        <w:rPr>
          <w:rFonts w:asciiTheme="majorHAnsi" w:hAnsiTheme="majorHAnsi"/>
          <w:sz w:val="22"/>
          <w:szCs w:val="22"/>
          <w:lang w:val="en-US"/>
        </w:rPr>
        <w:t>).</w:t>
      </w:r>
    </w:p>
    <w:p w:rsidR="009D6542" w:rsidRPr="009D6542" w:rsidRDefault="009D6542" w:rsidP="009D6542">
      <w:pPr>
        <w:rPr>
          <w:rFonts w:asciiTheme="majorHAnsi" w:hAnsiTheme="majorHAnsi"/>
          <w:b/>
          <w:sz w:val="22"/>
          <w:szCs w:val="22"/>
          <w:lang w:val="en-US"/>
        </w:rPr>
      </w:pPr>
      <w:r w:rsidRPr="009D6542">
        <w:rPr>
          <w:rFonts w:asciiTheme="majorHAnsi" w:hAnsiTheme="majorHAnsi"/>
          <w:b/>
          <w:sz w:val="22"/>
          <w:szCs w:val="22"/>
          <w:lang w:val="en-US"/>
        </w:rPr>
        <w:t xml:space="preserve">Symptoms which alone do not indicate </w:t>
      </w:r>
      <w:r w:rsidR="002016DF">
        <w:rPr>
          <w:rFonts w:asciiTheme="majorHAnsi" w:hAnsiTheme="majorHAnsi"/>
          <w:b/>
          <w:sz w:val="22"/>
          <w:szCs w:val="22"/>
          <w:lang w:val="en-US"/>
        </w:rPr>
        <w:t xml:space="preserve">oesophageal or </w:t>
      </w:r>
      <w:bookmarkStart w:id="0" w:name="_GoBack"/>
      <w:bookmarkEnd w:id="0"/>
      <w:r>
        <w:rPr>
          <w:rFonts w:asciiTheme="majorHAnsi" w:hAnsiTheme="majorHAnsi"/>
          <w:b/>
          <w:sz w:val="22"/>
          <w:szCs w:val="22"/>
          <w:lang w:val="en-US"/>
        </w:rPr>
        <w:t>gastric cancer</w:t>
      </w:r>
      <w:r w:rsidRPr="009D6542">
        <w:rPr>
          <w:rFonts w:asciiTheme="majorHAnsi" w:hAnsiTheme="majorHAnsi"/>
          <w:b/>
          <w:sz w:val="22"/>
          <w:szCs w:val="22"/>
          <w:lang w:val="en-US"/>
        </w:rPr>
        <w:t xml:space="preserve"> but combined can increase the likelihood are:</w:t>
      </w:r>
    </w:p>
    <w:p w:rsidR="00C018C3" w:rsidRPr="00AC7647" w:rsidRDefault="00C018C3" w:rsidP="00AC7647">
      <w:pPr>
        <w:pStyle w:val="ListParagraph"/>
        <w:numPr>
          <w:ilvl w:val="0"/>
          <w:numId w:val="24"/>
        </w:numPr>
        <w:rPr>
          <w:rFonts w:asciiTheme="majorHAnsi" w:hAnsiTheme="majorHAnsi"/>
          <w:lang w:val="en-US"/>
        </w:rPr>
      </w:pPr>
      <w:r w:rsidRPr="00AC7647">
        <w:rPr>
          <w:rFonts w:asciiTheme="majorHAnsi" w:hAnsiTheme="majorHAnsi"/>
        </w:rPr>
        <w:t>Dysphagia</w:t>
      </w:r>
      <w:r w:rsidR="00AC7647" w:rsidRPr="00AC7647">
        <w:rPr>
          <w:rFonts w:asciiTheme="majorHAnsi" w:hAnsiTheme="majorHAnsi"/>
        </w:rPr>
        <w:t xml:space="preserve"> - </w:t>
      </w:r>
      <w:r w:rsidR="00AC7647" w:rsidRPr="00AC7647">
        <w:rPr>
          <w:rFonts w:asciiTheme="majorHAnsi" w:hAnsiTheme="majorHAnsi"/>
          <w:lang w:val="en-US"/>
        </w:rPr>
        <w:t xml:space="preserve">in people </w:t>
      </w:r>
      <w:r w:rsidR="009D6542">
        <w:rPr>
          <w:rFonts w:asciiTheme="majorHAnsi" w:hAnsiTheme="majorHAnsi"/>
          <w:lang w:val="en-US"/>
        </w:rPr>
        <w:t>≥</w:t>
      </w:r>
      <w:r w:rsidR="00AC7647" w:rsidRPr="00AC7647">
        <w:rPr>
          <w:rFonts w:asciiTheme="majorHAnsi" w:hAnsiTheme="majorHAnsi"/>
          <w:lang w:val="en-US"/>
        </w:rPr>
        <w:t xml:space="preserve"> 55 years is the strongest predictor of oeso</w:t>
      </w:r>
      <w:r w:rsidR="00AC7647">
        <w:rPr>
          <w:rFonts w:asciiTheme="majorHAnsi" w:hAnsiTheme="majorHAnsi"/>
          <w:lang w:val="en-US"/>
        </w:rPr>
        <w:t>phageal or gastric (OG) cancer</w:t>
      </w:r>
      <w:r w:rsidR="00AC7647" w:rsidRPr="00AC7647">
        <w:rPr>
          <w:rFonts w:asciiTheme="majorHAnsi" w:hAnsiTheme="majorHAnsi"/>
          <w:lang w:val="en-US"/>
        </w:rPr>
        <w:t xml:space="preserve"> </w:t>
      </w:r>
    </w:p>
    <w:p w:rsidR="00C018C3" w:rsidRPr="00C018C3" w:rsidRDefault="00C018C3" w:rsidP="00C018C3">
      <w:pPr>
        <w:pStyle w:val="ListParagraph"/>
        <w:numPr>
          <w:ilvl w:val="0"/>
          <w:numId w:val="20"/>
        </w:numPr>
        <w:rPr>
          <w:rFonts w:asciiTheme="majorHAnsi" w:hAnsiTheme="majorHAnsi"/>
        </w:rPr>
      </w:pPr>
      <w:r w:rsidRPr="00C018C3">
        <w:rPr>
          <w:rFonts w:asciiTheme="majorHAnsi" w:hAnsiTheme="majorHAnsi"/>
        </w:rPr>
        <w:t>Unintentional weight loss</w:t>
      </w:r>
    </w:p>
    <w:p w:rsidR="00C018C3" w:rsidRPr="00C018C3" w:rsidRDefault="00C018C3" w:rsidP="00C018C3">
      <w:pPr>
        <w:pStyle w:val="ListParagraph"/>
        <w:numPr>
          <w:ilvl w:val="0"/>
          <w:numId w:val="20"/>
        </w:numPr>
        <w:rPr>
          <w:rFonts w:asciiTheme="majorHAnsi" w:hAnsiTheme="majorHAnsi"/>
        </w:rPr>
      </w:pPr>
      <w:r w:rsidRPr="00C018C3">
        <w:rPr>
          <w:rFonts w:asciiTheme="majorHAnsi" w:hAnsiTheme="majorHAnsi"/>
        </w:rPr>
        <w:t>Iron deficiency anaemia</w:t>
      </w:r>
    </w:p>
    <w:p w:rsidR="00C018C3" w:rsidRPr="00C018C3" w:rsidRDefault="00C018C3" w:rsidP="00C018C3">
      <w:pPr>
        <w:pStyle w:val="ListParagraph"/>
        <w:numPr>
          <w:ilvl w:val="0"/>
          <w:numId w:val="20"/>
        </w:numPr>
        <w:rPr>
          <w:rFonts w:asciiTheme="majorHAnsi" w:hAnsiTheme="majorHAnsi"/>
        </w:rPr>
      </w:pPr>
      <w:r w:rsidRPr="00C018C3">
        <w:rPr>
          <w:rFonts w:asciiTheme="majorHAnsi" w:hAnsiTheme="majorHAnsi"/>
        </w:rPr>
        <w:t>Epigastric pain</w:t>
      </w:r>
    </w:p>
    <w:p w:rsidR="00C018C3" w:rsidRPr="00C018C3" w:rsidRDefault="00C018C3" w:rsidP="00C018C3">
      <w:pPr>
        <w:pStyle w:val="ListParagraph"/>
        <w:numPr>
          <w:ilvl w:val="0"/>
          <w:numId w:val="20"/>
        </w:numPr>
        <w:rPr>
          <w:rFonts w:asciiTheme="majorHAnsi" w:hAnsiTheme="majorHAnsi"/>
        </w:rPr>
      </w:pPr>
      <w:r w:rsidRPr="00C018C3">
        <w:rPr>
          <w:rFonts w:asciiTheme="majorHAnsi" w:hAnsiTheme="majorHAnsi"/>
        </w:rPr>
        <w:t>Persistent nausea or vomiting</w:t>
      </w:r>
    </w:p>
    <w:p w:rsidR="00C018C3" w:rsidRDefault="009D6542" w:rsidP="00C018C3">
      <w:pPr>
        <w:pStyle w:val="ListParagraph"/>
        <w:numPr>
          <w:ilvl w:val="0"/>
          <w:numId w:val="20"/>
        </w:numPr>
        <w:rPr>
          <w:rFonts w:asciiTheme="majorHAnsi" w:hAnsiTheme="majorHAnsi"/>
        </w:rPr>
      </w:pPr>
      <w:r>
        <w:rPr>
          <w:rFonts w:asciiTheme="majorHAnsi" w:hAnsiTheme="majorHAnsi"/>
        </w:rPr>
        <w:t>GORD</w:t>
      </w:r>
    </w:p>
    <w:p w:rsidR="00AC7647" w:rsidRPr="00AC7647" w:rsidRDefault="00AC7647" w:rsidP="00AC7647">
      <w:pPr>
        <w:rPr>
          <w:rFonts w:asciiTheme="majorHAnsi" w:hAnsiTheme="majorHAnsi"/>
          <w:sz w:val="22"/>
          <w:szCs w:val="22"/>
          <w:lang w:val="en-US"/>
        </w:rPr>
      </w:pPr>
      <w:r w:rsidRPr="00AC7647">
        <w:rPr>
          <w:rFonts w:asciiTheme="majorHAnsi" w:hAnsiTheme="majorHAnsi"/>
          <w:sz w:val="22"/>
          <w:szCs w:val="22"/>
          <w:lang w:val="en-US"/>
        </w:rPr>
        <w:t>Please provide history of Barrett’s oesophagus.</w:t>
      </w:r>
    </w:p>
    <w:p w:rsidR="00AC7647" w:rsidRPr="00AC7647" w:rsidRDefault="00AC7647" w:rsidP="00AC7647">
      <w:pPr>
        <w:rPr>
          <w:rFonts w:asciiTheme="majorHAnsi" w:hAnsiTheme="majorHAnsi"/>
        </w:rPr>
      </w:pPr>
    </w:p>
    <w:p w:rsidR="00C018C3" w:rsidRPr="00C018C3" w:rsidRDefault="00C018C3" w:rsidP="00C018C3">
      <w:pPr>
        <w:rPr>
          <w:rFonts w:asciiTheme="majorHAnsi" w:hAnsiTheme="majorHAnsi"/>
          <w:b/>
          <w:sz w:val="22"/>
          <w:szCs w:val="22"/>
        </w:rPr>
      </w:pPr>
      <w:r>
        <w:rPr>
          <w:rFonts w:asciiTheme="majorHAnsi" w:hAnsiTheme="majorHAnsi"/>
          <w:b/>
          <w:sz w:val="22"/>
          <w:szCs w:val="22"/>
        </w:rPr>
        <w:t>Indications for direct access</w:t>
      </w:r>
    </w:p>
    <w:p w:rsidR="00C018C3" w:rsidRPr="00C018C3" w:rsidRDefault="00C018C3" w:rsidP="00C018C3">
      <w:pPr>
        <w:pStyle w:val="ListParagraph"/>
        <w:numPr>
          <w:ilvl w:val="0"/>
          <w:numId w:val="21"/>
        </w:numPr>
        <w:spacing w:after="0" w:line="240" w:lineRule="auto"/>
        <w:rPr>
          <w:rFonts w:asciiTheme="majorHAnsi" w:hAnsiTheme="majorHAnsi" w:cs="Arial"/>
          <w:lang w:val="en-US"/>
        </w:rPr>
      </w:pPr>
      <w:r w:rsidRPr="00C018C3">
        <w:rPr>
          <w:rFonts w:asciiTheme="majorHAnsi" w:hAnsiTheme="majorHAnsi" w:cs="Arial"/>
          <w:lang w:val="en-US"/>
        </w:rPr>
        <w:t>Dysphagia</w:t>
      </w:r>
    </w:p>
    <w:p w:rsidR="00C018C3" w:rsidRPr="00C018C3" w:rsidRDefault="00C018C3" w:rsidP="00C018C3">
      <w:pPr>
        <w:pStyle w:val="ListParagraph"/>
        <w:numPr>
          <w:ilvl w:val="0"/>
          <w:numId w:val="21"/>
        </w:numPr>
        <w:spacing w:after="0" w:line="240" w:lineRule="auto"/>
        <w:rPr>
          <w:rFonts w:asciiTheme="majorHAnsi" w:hAnsiTheme="majorHAnsi" w:cs="Arial"/>
          <w:lang w:val="en-US"/>
        </w:rPr>
      </w:pPr>
      <w:r w:rsidRPr="00C018C3">
        <w:rPr>
          <w:rFonts w:asciiTheme="majorHAnsi" w:hAnsiTheme="majorHAnsi" w:cs="Arial"/>
          <w:lang w:val="en-US"/>
        </w:rPr>
        <w:t xml:space="preserve">Unintentional weight loss and upper GI symptoms </w:t>
      </w:r>
    </w:p>
    <w:p w:rsidR="00C018C3" w:rsidRPr="00C018C3" w:rsidRDefault="00C018C3" w:rsidP="00C018C3">
      <w:pPr>
        <w:pStyle w:val="ListParagraph"/>
        <w:numPr>
          <w:ilvl w:val="0"/>
          <w:numId w:val="21"/>
        </w:numPr>
        <w:spacing w:after="0" w:line="240" w:lineRule="auto"/>
        <w:rPr>
          <w:rFonts w:asciiTheme="majorHAnsi" w:hAnsiTheme="majorHAnsi" w:cs="Arial"/>
          <w:lang w:val="en-US"/>
        </w:rPr>
      </w:pPr>
      <w:proofErr w:type="spellStart"/>
      <w:r w:rsidRPr="00C018C3">
        <w:rPr>
          <w:rFonts w:asciiTheme="majorHAnsi" w:hAnsiTheme="majorHAnsi" w:cs="Arial"/>
          <w:lang w:val="en-US"/>
        </w:rPr>
        <w:t>Anaemia</w:t>
      </w:r>
      <w:proofErr w:type="spellEnd"/>
      <w:r w:rsidRPr="00C018C3">
        <w:rPr>
          <w:rFonts w:asciiTheme="majorHAnsi" w:hAnsiTheme="majorHAnsi" w:cs="Arial"/>
          <w:lang w:val="en-US"/>
        </w:rPr>
        <w:t xml:space="preserve"> </w:t>
      </w:r>
    </w:p>
    <w:p w:rsidR="00C018C3" w:rsidRPr="00C018C3" w:rsidRDefault="00C018C3" w:rsidP="00C018C3">
      <w:pPr>
        <w:pStyle w:val="ListParagraph"/>
        <w:numPr>
          <w:ilvl w:val="0"/>
          <w:numId w:val="21"/>
        </w:numPr>
        <w:spacing w:after="0" w:line="240" w:lineRule="auto"/>
        <w:rPr>
          <w:rFonts w:asciiTheme="majorHAnsi" w:hAnsiTheme="majorHAnsi" w:cs="Arial"/>
          <w:lang w:val="en-US"/>
        </w:rPr>
      </w:pPr>
      <w:r w:rsidRPr="00C018C3">
        <w:rPr>
          <w:rFonts w:asciiTheme="majorHAnsi" w:hAnsiTheme="majorHAnsi" w:cs="Arial"/>
          <w:lang w:val="en-US"/>
        </w:rPr>
        <w:t>GI Bleeding</w:t>
      </w:r>
    </w:p>
    <w:p w:rsidR="00C018C3" w:rsidRPr="00C018C3" w:rsidRDefault="00C018C3" w:rsidP="00C018C3">
      <w:pPr>
        <w:pStyle w:val="ListParagraph"/>
        <w:numPr>
          <w:ilvl w:val="0"/>
          <w:numId w:val="21"/>
        </w:numPr>
        <w:spacing w:after="0" w:line="240" w:lineRule="auto"/>
        <w:rPr>
          <w:rFonts w:asciiTheme="majorHAnsi" w:hAnsiTheme="majorHAnsi" w:cs="Arial"/>
          <w:lang w:val="en-US"/>
        </w:rPr>
      </w:pPr>
      <w:r w:rsidRPr="00C018C3">
        <w:rPr>
          <w:rFonts w:asciiTheme="majorHAnsi" w:hAnsiTheme="majorHAnsi" w:cs="Arial"/>
          <w:lang w:val="en-US"/>
        </w:rPr>
        <w:t>Abnormal imaging</w:t>
      </w:r>
    </w:p>
    <w:p w:rsidR="00C018C3" w:rsidRPr="00C018C3" w:rsidRDefault="00C018C3" w:rsidP="00C018C3">
      <w:pPr>
        <w:pStyle w:val="ListParagraph"/>
        <w:numPr>
          <w:ilvl w:val="0"/>
          <w:numId w:val="21"/>
        </w:numPr>
        <w:spacing w:after="0" w:line="240" w:lineRule="auto"/>
        <w:rPr>
          <w:rFonts w:asciiTheme="majorHAnsi" w:hAnsiTheme="majorHAnsi" w:cs="Arial"/>
          <w:lang w:val="en-US"/>
        </w:rPr>
      </w:pPr>
      <w:r w:rsidRPr="00C018C3">
        <w:rPr>
          <w:rFonts w:asciiTheme="majorHAnsi" w:hAnsiTheme="majorHAnsi" w:cs="Arial"/>
          <w:lang w:val="en-US"/>
        </w:rPr>
        <w:t xml:space="preserve">Dyspepsia </w:t>
      </w:r>
    </w:p>
    <w:p w:rsidR="00C018C3" w:rsidRPr="00C018C3" w:rsidRDefault="00C018C3" w:rsidP="00C018C3">
      <w:pPr>
        <w:pStyle w:val="ListParagraph"/>
        <w:numPr>
          <w:ilvl w:val="0"/>
          <w:numId w:val="21"/>
        </w:numPr>
        <w:spacing w:after="0" w:line="240" w:lineRule="auto"/>
        <w:rPr>
          <w:rFonts w:asciiTheme="majorHAnsi" w:hAnsiTheme="majorHAnsi" w:cs="Arial"/>
          <w:lang w:val="en-US"/>
        </w:rPr>
      </w:pPr>
      <w:r w:rsidRPr="00C018C3">
        <w:rPr>
          <w:rFonts w:asciiTheme="majorHAnsi" w:hAnsiTheme="majorHAnsi" w:cs="Arial"/>
          <w:lang w:val="en-US"/>
        </w:rPr>
        <w:t xml:space="preserve">Recent onset GORD with other symptoms </w:t>
      </w:r>
    </w:p>
    <w:p w:rsidR="00C018C3" w:rsidRPr="00C018C3" w:rsidRDefault="00C018C3" w:rsidP="00C018C3">
      <w:pPr>
        <w:pStyle w:val="ListParagraph"/>
        <w:numPr>
          <w:ilvl w:val="0"/>
          <w:numId w:val="21"/>
        </w:numPr>
        <w:rPr>
          <w:rFonts w:asciiTheme="majorHAnsi" w:hAnsiTheme="majorHAnsi"/>
        </w:rPr>
      </w:pPr>
      <w:r w:rsidRPr="00C018C3">
        <w:rPr>
          <w:rFonts w:asciiTheme="majorHAnsi" w:hAnsiTheme="majorHAnsi" w:cs="Arial"/>
          <w:lang w:val="en-US"/>
        </w:rPr>
        <w:t xml:space="preserve">Persistent Nausea and vomiting </w:t>
      </w:r>
    </w:p>
    <w:p w:rsidR="00C018C3" w:rsidRPr="00C018C3" w:rsidRDefault="00C018C3" w:rsidP="00C018C3">
      <w:pPr>
        <w:rPr>
          <w:rFonts w:asciiTheme="majorHAnsi" w:hAnsiTheme="majorHAnsi"/>
          <w:b/>
          <w:sz w:val="22"/>
          <w:szCs w:val="22"/>
        </w:rPr>
      </w:pPr>
      <w:r w:rsidRPr="00C018C3">
        <w:rPr>
          <w:rFonts w:asciiTheme="majorHAnsi" w:hAnsiTheme="majorHAnsi"/>
          <w:b/>
          <w:sz w:val="22"/>
          <w:szCs w:val="22"/>
        </w:rPr>
        <w:t>R</w:t>
      </w:r>
      <w:r>
        <w:rPr>
          <w:rFonts w:asciiTheme="majorHAnsi" w:hAnsiTheme="majorHAnsi"/>
          <w:b/>
          <w:sz w:val="22"/>
          <w:szCs w:val="22"/>
        </w:rPr>
        <w:t>equiring S</w:t>
      </w:r>
      <w:r w:rsidRPr="00C018C3">
        <w:rPr>
          <w:rFonts w:asciiTheme="majorHAnsi" w:hAnsiTheme="majorHAnsi"/>
          <w:b/>
          <w:sz w:val="22"/>
          <w:szCs w:val="22"/>
        </w:rPr>
        <w:t>pecialist clinic appointment</w:t>
      </w:r>
      <w:r>
        <w:rPr>
          <w:rFonts w:asciiTheme="majorHAnsi" w:hAnsiTheme="majorHAnsi"/>
          <w:b/>
          <w:sz w:val="22"/>
          <w:szCs w:val="22"/>
        </w:rPr>
        <w:t xml:space="preserve"> (exclusion criteria for direct access)</w:t>
      </w:r>
    </w:p>
    <w:p w:rsidR="00C018C3" w:rsidRPr="00C018C3" w:rsidRDefault="00C018C3" w:rsidP="00C018C3">
      <w:pPr>
        <w:pStyle w:val="ListParagraph"/>
        <w:numPr>
          <w:ilvl w:val="0"/>
          <w:numId w:val="22"/>
        </w:numPr>
        <w:spacing w:after="0" w:line="240" w:lineRule="auto"/>
        <w:rPr>
          <w:rFonts w:asciiTheme="majorHAnsi" w:hAnsiTheme="majorHAnsi" w:cs="Arial"/>
          <w:lang w:val="en-US"/>
        </w:rPr>
      </w:pPr>
      <w:r w:rsidRPr="00C018C3">
        <w:rPr>
          <w:rFonts w:asciiTheme="majorHAnsi" w:hAnsiTheme="majorHAnsi" w:cs="Arial"/>
          <w:lang w:val="en-US"/>
        </w:rPr>
        <w:t>Lump or mass in abdomen</w:t>
      </w:r>
    </w:p>
    <w:p w:rsidR="00C018C3" w:rsidRPr="00C018C3" w:rsidRDefault="00C018C3" w:rsidP="00C018C3">
      <w:pPr>
        <w:pStyle w:val="ListParagraph"/>
        <w:numPr>
          <w:ilvl w:val="0"/>
          <w:numId w:val="22"/>
        </w:numPr>
        <w:spacing w:after="0" w:line="240" w:lineRule="auto"/>
        <w:rPr>
          <w:rFonts w:asciiTheme="majorHAnsi" w:hAnsiTheme="majorHAnsi" w:cs="Arial"/>
          <w:lang w:val="en-US"/>
        </w:rPr>
      </w:pPr>
      <w:r w:rsidRPr="00C018C3">
        <w:rPr>
          <w:rFonts w:asciiTheme="majorHAnsi" w:hAnsiTheme="majorHAnsi" w:cs="Arial"/>
          <w:lang w:val="en-US"/>
        </w:rPr>
        <w:t>Significant co-morbidities</w:t>
      </w:r>
    </w:p>
    <w:p w:rsidR="00C018C3" w:rsidRPr="00C018C3" w:rsidRDefault="00C018C3" w:rsidP="00C018C3">
      <w:pPr>
        <w:pStyle w:val="ListParagraph"/>
        <w:numPr>
          <w:ilvl w:val="0"/>
          <w:numId w:val="22"/>
        </w:numPr>
        <w:spacing w:after="0" w:line="240" w:lineRule="auto"/>
        <w:rPr>
          <w:rFonts w:asciiTheme="majorHAnsi" w:hAnsiTheme="majorHAnsi" w:cs="Arial"/>
          <w:lang w:val="en-US"/>
        </w:rPr>
      </w:pPr>
      <w:r w:rsidRPr="00C018C3">
        <w:rPr>
          <w:rFonts w:asciiTheme="majorHAnsi" w:hAnsiTheme="majorHAnsi" w:cs="Arial"/>
          <w:lang w:val="en-US"/>
        </w:rPr>
        <w:t>On anticoagulation therapy</w:t>
      </w:r>
    </w:p>
    <w:p w:rsidR="00C018C3" w:rsidRPr="00C018C3" w:rsidRDefault="00C018C3" w:rsidP="00C018C3">
      <w:pPr>
        <w:pStyle w:val="ListParagraph"/>
        <w:numPr>
          <w:ilvl w:val="0"/>
          <w:numId w:val="22"/>
        </w:numPr>
        <w:rPr>
          <w:rFonts w:asciiTheme="majorHAnsi" w:hAnsiTheme="majorHAnsi"/>
        </w:rPr>
      </w:pPr>
      <w:r w:rsidRPr="00C018C3">
        <w:rPr>
          <w:rFonts w:asciiTheme="majorHAnsi" w:hAnsiTheme="majorHAnsi" w:cs="Arial"/>
          <w:lang w:val="en-US"/>
        </w:rPr>
        <w:t>Patient weight ≥ 150 Kgs</w:t>
      </w:r>
    </w:p>
    <w:p w:rsidR="00C018C3" w:rsidRPr="00C018C3" w:rsidRDefault="00C018C3" w:rsidP="00C018C3">
      <w:pPr>
        <w:rPr>
          <w:rFonts w:asciiTheme="majorHAnsi" w:hAnsiTheme="majorHAnsi"/>
          <w:sz w:val="22"/>
          <w:szCs w:val="22"/>
          <w:lang w:val="en-US"/>
        </w:rPr>
      </w:pPr>
    </w:p>
    <w:p w:rsidR="00A95BD4" w:rsidRPr="00C018C3" w:rsidRDefault="00A95BD4" w:rsidP="007A2EF5">
      <w:pPr>
        <w:rPr>
          <w:rFonts w:asciiTheme="majorHAnsi" w:hAnsiTheme="majorHAnsi"/>
          <w:sz w:val="22"/>
          <w:szCs w:val="22"/>
        </w:rPr>
      </w:pPr>
    </w:p>
    <w:sectPr w:rsidR="00A95BD4" w:rsidRPr="00C018C3" w:rsidSect="002F21FE">
      <w:headerReference w:type="default" r:id="rId8"/>
      <w:footerReference w:type="default" r:id="rId9"/>
      <w:pgSz w:w="11900" w:h="16840"/>
      <w:pgMar w:top="2556" w:right="1133" w:bottom="1440" w:left="1276" w:header="0" w:footer="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828" w:rsidRDefault="00FE7828" w:rsidP="00BC0C89">
      <w:r>
        <w:separator/>
      </w:r>
    </w:p>
  </w:endnote>
  <w:endnote w:type="continuationSeparator" w:id="0">
    <w:p w:rsidR="00FE7828" w:rsidRDefault="00FE7828" w:rsidP="00BC0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HelveticaNeueLT Std Lt">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828" w:rsidRDefault="00FE7828" w:rsidP="002F21FE">
    <w:pPr>
      <w:pStyle w:val="Footer"/>
      <w:ind w:left="-1276" w:right="-1800"/>
    </w:pPr>
    <w:r>
      <w:rPr>
        <w:noProof/>
        <w:lang w:eastAsia="en-AU"/>
      </w:rPr>
      <w:drawing>
        <wp:inline distT="0" distB="0" distL="0" distR="0" wp14:anchorId="0EC2C5E2" wp14:editId="612E3383">
          <wp:extent cx="7560412" cy="1710055"/>
          <wp:effectExtent l="0" t="0" r="2540" b="4445"/>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560412" cy="171005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828" w:rsidRDefault="00FE7828" w:rsidP="00BC0C89">
      <w:r>
        <w:separator/>
      </w:r>
    </w:p>
  </w:footnote>
  <w:footnote w:type="continuationSeparator" w:id="0">
    <w:p w:rsidR="00FE7828" w:rsidRDefault="00FE7828" w:rsidP="00BC0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828" w:rsidRDefault="00FE7828" w:rsidP="00BC0C89">
    <w:pPr>
      <w:pStyle w:val="Header"/>
      <w:ind w:left="-568"/>
    </w:pPr>
    <w:r>
      <w:rPr>
        <w:noProof/>
        <w:lang w:eastAsia="en-AU"/>
      </w:rPr>
      <w:drawing>
        <wp:inline distT="0" distB="0" distL="0" distR="0" wp14:anchorId="62696670" wp14:editId="008BD04D">
          <wp:extent cx="8289646" cy="1336675"/>
          <wp:effectExtent l="0" t="0" r="0" b="9525"/>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8289646" cy="13366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135E"/>
    <w:multiLevelType w:val="hybridMultilevel"/>
    <w:tmpl w:val="72FE0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94668C"/>
    <w:multiLevelType w:val="multilevel"/>
    <w:tmpl w:val="C18A4A10"/>
    <w:lvl w:ilvl="0">
      <w:start w:val="8"/>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 w15:restartNumberingAfterBreak="0">
    <w:nsid w:val="058911BD"/>
    <w:multiLevelType w:val="multilevel"/>
    <w:tmpl w:val="6DBA00F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6CC69D5"/>
    <w:multiLevelType w:val="multilevel"/>
    <w:tmpl w:val="DBB8D756"/>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A576E20"/>
    <w:multiLevelType w:val="hybridMultilevel"/>
    <w:tmpl w:val="E8DCEA0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0465B9"/>
    <w:multiLevelType w:val="multilevel"/>
    <w:tmpl w:val="86FA90D2"/>
    <w:lvl w:ilvl="0">
      <w:start w:val="12"/>
      <w:numFmt w:val="decimal"/>
      <w:lvlText w:val="%1"/>
      <w:lvlJc w:val="left"/>
      <w:pPr>
        <w:ind w:left="420" w:hanging="420"/>
      </w:pPr>
      <w:rPr>
        <w:rFonts w:hint="default"/>
        <w:b w:val="0"/>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6" w15:restartNumberingAfterBreak="0">
    <w:nsid w:val="0E603DE3"/>
    <w:multiLevelType w:val="multilevel"/>
    <w:tmpl w:val="F67A3B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786149E"/>
    <w:multiLevelType w:val="hybridMultilevel"/>
    <w:tmpl w:val="36B2C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5A7C9A"/>
    <w:multiLevelType w:val="hybridMultilevel"/>
    <w:tmpl w:val="EFB8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FB4D40"/>
    <w:multiLevelType w:val="multilevel"/>
    <w:tmpl w:val="9FD2DBB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FE13F86"/>
    <w:multiLevelType w:val="multilevel"/>
    <w:tmpl w:val="90628624"/>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5E16873"/>
    <w:multiLevelType w:val="multilevel"/>
    <w:tmpl w:val="B0EE17C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8561A3B"/>
    <w:multiLevelType w:val="multilevel"/>
    <w:tmpl w:val="FC645602"/>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55821A0"/>
    <w:multiLevelType w:val="multilevel"/>
    <w:tmpl w:val="4476DECE"/>
    <w:lvl w:ilvl="0">
      <w:start w:val="1"/>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4" w15:restartNumberingAfterBreak="0">
    <w:nsid w:val="365F248C"/>
    <w:multiLevelType w:val="multilevel"/>
    <w:tmpl w:val="7978563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55846BDB"/>
    <w:multiLevelType w:val="hybridMultilevel"/>
    <w:tmpl w:val="07466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FE7C1B"/>
    <w:multiLevelType w:val="multilevel"/>
    <w:tmpl w:val="EBF6BC74"/>
    <w:lvl w:ilvl="0">
      <w:start w:val="3"/>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62506D06"/>
    <w:multiLevelType w:val="multilevel"/>
    <w:tmpl w:val="85A8E7F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E255EA0"/>
    <w:multiLevelType w:val="multilevel"/>
    <w:tmpl w:val="B99E81E6"/>
    <w:lvl w:ilvl="0">
      <w:start w:val="6"/>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6E4D6087"/>
    <w:multiLevelType w:val="hybridMultilevel"/>
    <w:tmpl w:val="AA503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0B3836"/>
    <w:multiLevelType w:val="hybridMultilevel"/>
    <w:tmpl w:val="7B24BB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9DC4BB9"/>
    <w:multiLevelType w:val="hybridMultilevel"/>
    <w:tmpl w:val="9E9C6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1B400D"/>
    <w:multiLevelType w:val="hybridMultilevel"/>
    <w:tmpl w:val="DCFA2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B72F6E"/>
    <w:multiLevelType w:val="hybridMultilevel"/>
    <w:tmpl w:val="88CA1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3"/>
  </w:num>
  <w:num w:numId="5">
    <w:abstractNumId w:val="14"/>
  </w:num>
  <w:num w:numId="6">
    <w:abstractNumId w:val="16"/>
  </w:num>
  <w:num w:numId="7">
    <w:abstractNumId w:val="17"/>
  </w:num>
  <w:num w:numId="8">
    <w:abstractNumId w:val="11"/>
  </w:num>
  <w:num w:numId="9">
    <w:abstractNumId w:val="2"/>
  </w:num>
  <w:num w:numId="10">
    <w:abstractNumId w:val="1"/>
  </w:num>
  <w:num w:numId="11">
    <w:abstractNumId w:val="9"/>
  </w:num>
  <w:num w:numId="12">
    <w:abstractNumId w:val="12"/>
  </w:num>
  <w:num w:numId="13">
    <w:abstractNumId w:val="3"/>
  </w:num>
  <w:num w:numId="14">
    <w:abstractNumId w:val="5"/>
  </w:num>
  <w:num w:numId="15">
    <w:abstractNumId w:val="10"/>
  </w:num>
  <w:num w:numId="16">
    <w:abstractNumId w:val="18"/>
  </w:num>
  <w:num w:numId="17">
    <w:abstractNumId w:val="15"/>
  </w:num>
  <w:num w:numId="18">
    <w:abstractNumId w:val="22"/>
  </w:num>
  <w:num w:numId="19">
    <w:abstractNumId w:val="8"/>
  </w:num>
  <w:num w:numId="20">
    <w:abstractNumId w:val="21"/>
  </w:num>
  <w:num w:numId="21">
    <w:abstractNumId w:val="0"/>
  </w:num>
  <w:num w:numId="22">
    <w:abstractNumId w:val="23"/>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C89"/>
    <w:rsid w:val="00145F6D"/>
    <w:rsid w:val="002016DF"/>
    <w:rsid w:val="002D7052"/>
    <w:rsid w:val="002E7327"/>
    <w:rsid w:val="002F21FE"/>
    <w:rsid w:val="00374421"/>
    <w:rsid w:val="0039424C"/>
    <w:rsid w:val="00521021"/>
    <w:rsid w:val="00525F15"/>
    <w:rsid w:val="00652000"/>
    <w:rsid w:val="00687F00"/>
    <w:rsid w:val="006A155B"/>
    <w:rsid w:val="00716F37"/>
    <w:rsid w:val="00720A73"/>
    <w:rsid w:val="00725EB1"/>
    <w:rsid w:val="00747F04"/>
    <w:rsid w:val="007A2EF5"/>
    <w:rsid w:val="007C7514"/>
    <w:rsid w:val="0080111F"/>
    <w:rsid w:val="00846F9E"/>
    <w:rsid w:val="008770DB"/>
    <w:rsid w:val="00886244"/>
    <w:rsid w:val="008A5A22"/>
    <w:rsid w:val="0096612A"/>
    <w:rsid w:val="009D6542"/>
    <w:rsid w:val="00A11F40"/>
    <w:rsid w:val="00A95BD4"/>
    <w:rsid w:val="00AC7647"/>
    <w:rsid w:val="00B5144A"/>
    <w:rsid w:val="00BC0C89"/>
    <w:rsid w:val="00BF7DF7"/>
    <w:rsid w:val="00C018C3"/>
    <w:rsid w:val="00DB00E2"/>
    <w:rsid w:val="00F11536"/>
    <w:rsid w:val="00FE2C43"/>
    <w:rsid w:val="00FE782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15:docId w15:val="{6B0B89B1-B34E-4678-B66E-994F9BF1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E7327"/>
    <w:pPr>
      <w:spacing w:before="100" w:beforeAutospacing="1" w:after="100" w:afterAutospacing="1"/>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C89"/>
    <w:pPr>
      <w:tabs>
        <w:tab w:val="center" w:pos="4320"/>
        <w:tab w:val="right" w:pos="8640"/>
      </w:tabs>
    </w:pPr>
  </w:style>
  <w:style w:type="character" w:customStyle="1" w:styleId="HeaderChar">
    <w:name w:val="Header Char"/>
    <w:basedOn w:val="DefaultParagraphFont"/>
    <w:link w:val="Header"/>
    <w:uiPriority w:val="99"/>
    <w:rsid w:val="00BC0C89"/>
  </w:style>
  <w:style w:type="paragraph" w:styleId="Footer">
    <w:name w:val="footer"/>
    <w:basedOn w:val="Normal"/>
    <w:link w:val="FooterChar"/>
    <w:uiPriority w:val="99"/>
    <w:unhideWhenUsed/>
    <w:rsid w:val="00BC0C89"/>
    <w:pPr>
      <w:tabs>
        <w:tab w:val="center" w:pos="4320"/>
        <w:tab w:val="right" w:pos="8640"/>
      </w:tabs>
    </w:pPr>
  </w:style>
  <w:style w:type="character" w:customStyle="1" w:styleId="FooterChar">
    <w:name w:val="Footer Char"/>
    <w:basedOn w:val="DefaultParagraphFont"/>
    <w:link w:val="Footer"/>
    <w:uiPriority w:val="99"/>
    <w:rsid w:val="00BC0C89"/>
  </w:style>
  <w:style w:type="paragraph" w:styleId="BalloonText">
    <w:name w:val="Balloon Text"/>
    <w:basedOn w:val="Normal"/>
    <w:link w:val="BalloonTextChar"/>
    <w:uiPriority w:val="99"/>
    <w:semiHidden/>
    <w:unhideWhenUsed/>
    <w:rsid w:val="00BC0C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0C89"/>
    <w:rPr>
      <w:rFonts w:ascii="Lucida Grande" w:hAnsi="Lucida Grande" w:cs="Lucida Grande"/>
      <w:sz w:val="18"/>
      <w:szCs w:val="18"/>
    </w:rPr>
  </w:style>
  <w:style w:type="character" w:styleId="Hyperlink">
    <w:name w:val="Hyperlink"/>
    <w:basedOn w:val="DefaultParagraphFont"/>
    <w:uiPriority w:val="99"/>
    <w:unhideWhenUsed/>
    <w:rsid w:val="00B5144A"/>
    <w:rPr>
      <w:color w:val="0000AA"/>
      <w:u w:val="single"/>
    </w:rPr>
  </w:style>
  <w:style w:type="paragraph" w:customStyle="1" w:styleId="Default">
    <w:name w:val="Default"/>
    <w:rsid w:val="00B5144A"/>
    <w:pPr>
      <w:autoSpaceDE w:val="0"/>
      <w:autoSpaceDN w:val="0"/>
      <w:adjustRightInd w:val="0"/>
    </w:pPr>
    <w:rPr>
      <w:rFonts w:ascii="Verdana" w:eastAsiaTheme="minorHAnsi" w:hAnsi="Verdana" w:cs="Verdana"/>
      <w:color w:val="000000"/>
    </w:rPr>
  </w:style>
  <w:style w:type="paragraph" w:styleId="ListParagraph">
    <w:name w:val="List Paragraph"/>
    <w:basedOn w:val="Normal"/>
    <w:uiPriority w:val="34"/>
    <w:qFormat/>
    <w:rsid w:val="00B5144A"/>
    <w:pPr>
      <w:spacing w:after="160" w:line="259" w:lineRule="auto"/>
      <w:ind w:left="720"/>
      <w:contextualSpacing/>
    </w:pPr>
    <w:rPr>
      <w:rFonts w:eastAsiaTheme="minorHAnsi"/>
      <w:sz w:val="22"/>
      <w:szCs w:val="22"/>
    </w:rPr>
  </w:style>
  <w:style w:type="table" w:styleId="TableGrid">
    <w:name w:val="Table Grid"/>
    <w:basedOn w:val="TableNormal"/>
    <w:uiPriority w:val="59"/>
    <w:rsid w:val="00B51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7327"/>
    <w:rPr>
      <w:rFonts w:ascii="Times New Roman" w:eastAsia="Times New Roman" w:hAnsi="Times New Roman" w:cs="Times New Roman"/>
      <w:b/>
      <w:bCs/>
      <w:kern w:val="36"/>
      <w:sz w:val="48"/>
      <w:szCs w:val="48"/>
      <w:lang w:eastAsia="en-AU"/>
    </w:rPr>
  </w:style>
  <w:style w:type="table" w:customStyle="1" w:styleId="TableGrid1">
    <w:name w:val="Table Grid1"/>
    <w:basedOn w:val="TableNormal"/>
    <w:next w:val="TableGrid"/>
    <w:uiPriority w:val="59"/>
    <w:rsid w:val="0037442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GMGR">
    <w:name w:val="Header GMGR"/>
    <w:basedOn w:val="Header"/>
    <w:qFormat/>
    <w:rsid w:val="00374421"/>
    <w:pPr>
      <w:tabs>
        <w:tab w:val="clear" w:pos="4320"/>
        <w:tab w:val="clear" w:pos="8640"/>
        <w:tab w:val="center" w:pos="4513"/>
        <w:tab w:val="right" w:pos="9026"/>
      </w:tabs>
      <w:jc w:val="right"/>
    </w:pPr>
    <w:rPr>
      <w:rFonts w:ascii="HelveticaNeueLT Std Lt" w:eastAsia="Calibri" w:hAnsi="HelveticaNeueLT Std Lt"/>
      <w:i/>
      <w:noProof/>
      <w:color w:val="404040"/>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referralproject@bendigohealth.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65177D16</Template>
  <TotalTime>1127</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mills</dc:creator>
  <cp:keywords/>
  <dc:description/>
  <cp:lastModifiedBy>Carol Parker</cp:lastModifiedBy>
  <cp:revision>4</cp:revision>
  <cp:lastPrinted>2019-03-13T02:24:00Z</cp:lastPrinted>
  <dcterms:created xsi:type="dcterms:W3CDTF">2019-03-13T00:39:00Z</dcterms:created>
  <dcterms:modified xsi:type="dcterms:W3CDTF">2019-03-14T00:41:00Z</dcterms:modified>
</cp:coreProperties>
</file>